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B5099" w14:textId="77777777" w:rsidR="00633456" w:rsidRDefault="00633456" w:rsidP="00633456">
      <w:pPr>
        <w:pStyle w:val="NormalWeb"/>
      </w:pPr>
      <w:bookmarkStart w:id="0" w:name="_GoBack"/>
      <w:r>
        <w:rPr>
          <w:rFonts w:ascii="TimesNewRomanPS" w:hAnsi="TimesNewRomanPS"/>
          <w:b/>
          <w:bCs/>
          <w:shd w:val="clear" w:color="auto" w:fill="FFFFFF"/>
        </w:rPr>
        <w:t xml:space="preserve">PROFILE AMERICA FACTS FOR FEATURES: </w:t>
      </w:r>
      <w:r>
        <w:rPr>
          <w:rFonts w:ascii="TimesNewRomanPSMT" w:hAnsi="TimesNewRomanPSMT" w:cs="TimesNewRomanPSMT"/>
          <w:shd w:val="clear" w:color="auto" w:fill="FFFFFF"/>
        </w:rPr>
        <w:t xml:space="preserve">CB16-FF.18 </w:t>
      </w:r>
      <w:r>
        <w:rPr>
          <w:rFonts w:ascii="TimesNewRomanPSMT" w:hAnsi="TimesNewRomanPSMT" w:cs="TimesNewRomanPSMT"/>
        </w:rPr>
        <w:t xml:space="preserve">AUG. 25, 2016 </w:t>
      </w:r>
      <w:r>
        <w:rPr>
          <w:rFonts w:ascii="TimesNewRomanPSMT" w:hAnsi="TimesNewRomanPSMT" w:cs="TimesNewRomanPSMT"/>
          <w:color w:val="FF0000"/>
        </w:rPr>
        <w:t xml:space="preserve">*Revised: Friday, Aug. 26, 2016* </w:t>
      </w:r>
    </w:p>
    <w:p w14:paraId="0D5FD6D3" w14:textId="77777777" w:rsidR="00633456" w:rsidRDefault="00633456" w:rsidP="00633456">
      <w:pPr>
        <w:pStyle w:val="NormalWeb"/>
      </w:pPr>
      <w:r>
        <w:rPr>
          <w:rFonts w:ascii="TimesNewRomanPS" w:hAnsi="TimesNewRomanPS"/>
          <w:b/>
          <w:bCs/>
          <w:color w:val="FF0000"/>
        </w:rPr>
        <w:t xml:space="preserve">Note: The percentages of unmarried men and women have been corrected. Please disregard the previous version of this Facts for Features. </w:t>
      </w:r>
    </w:p>
    <w:p w14:paraId="30C11CF1" w14:textId="77777777" w:rsidR="00633456" w:rsidRDefault="00633456" w:rsidP="00633456">
      <w:pPr>
        <w:pStyle w:val="NormalWeb"/>
      </w:pPr>
      <w:r>
        <w:rPr>
          <w:rFonts w:ascii="TimesNewRomanPS" w:hAnsi="TimesNewRomanPS"/>
          <w:b/>
          <w:bCs/>
          <w:sz w:val="44"/>
          <w:szCs w:val="44"/>
        </w:rPr>
        <w:t xml:space="preserve">Unmarried and Single Americans Week: Sept. 18-24, 2016 </w:t>
      </w:r>
    </w:p>
    <w:p w14:paraId="7B801D8B" w14:textId="77777777" w:rsidR="00633456" w:rsidRDefault="00633456" w:rsidP="00633456">
      <w:pPr>
        <w:pStyle w:val="NormalWeb"/>
      </w:pPr>
      <w:r>
        <w:rPr>
          <w:rFonts w:ascii="TimesNewRomanPSMT" w:hAnsi="TimesNewRomanPSMT" w:cs="TimesNewRomanPSMT"/>
        </w:rPr>
        <w:t xml:space="preserve">The Buckeye Singles Council started “National Singles Week” in Ohio in the 1980s to celebrate single life and recognize singles and their contributions to society. The week is now widely observed during the third full week of September (Sept. 18-24 in 2016) as “Unmarried and Single Americans Week,” an acknowledgment that many unmarried Americans do not identify with the word “single” because they are parents, have partners or are widowed. In this edition of Facts for Features, unmarried people include those who were never married, widowed or divorced, unless otherwise noted. </w:t>
      </w:r>
    </w:p>
    <w:p w14:paraId="7CFA4F16" w14:textId="77777777" w:rsidR="00633456" w:rsidRDefault="00633456" w:rsidP="00633456">
      <w:pPr>
        <w:pStyle w:val="NormalWeb"/>
      </w:pPr>
      <w:r>
        <w:rPr>
          <w:rFonts w:ascii="TimesNewRomanPS" w:hAnsi="TimesNewRomanPS"/>
          <w:b/>
          <w:bCs/>
          <w:sz w:val="36"/>
          <w:szCs w:val="36"/>
        </w:rPr>
        <w:t xml:space="preserve">109 million </w:t>
      </w:r>
    </w:p>
    <w:p w14:paraId="29B8E6EB" w14:textId="77777777" w:rsidR="00633456" w:rsidRDefault="00633456" w:rsidP="00633456">
      <w:pPr>
        <w:pStyle w:val="NormalWeb"/>
      </w:pPr>
      <w:r>
        <w:rPr>
          <w:rFonts w:ascii="TimesNewRomanPS" w:hAnsi="TimesNewRomanPS"/>
          <w:b/>
          <w:bCs/>
          <w:sz w:val="36"/>
          <w:szCs w:val="36"/>
        </w:rPr>
        <w:t xml:space="preserve">Single Life </w:t>
      </w:r>
    </w:p>
    <w:p w14:paraId="357F9CD0" w14:textId="77777777" w:rsidR="00633456" w:rsidRDefault="00633456" w:rsidP="00633456">
      <w:pPr>
        <w:pStyle w:val="NormalWeb"/>
      </w:pPr>
      <w:r>
        <w:rPr>
          <w:rFonts w:ascii="TimesNewRomanPSMT" w:hAnsi="TimesNewRomanPSMT" w:cs="TimesNewRomanPSMT"/>
        </w:rPr>
        <w:t>The number of unmarried people in America 18 and older in 2015. This group made up 45 percent of all U.S. residents 18 and older.</w:t>
      </w:r>
      <w:r>
        <w:rPr>
          <w:rFonts w:ascii="TimesNewRomanPSMT" w:hAnsi="TimesNewRomanPSMT" w:cs="TimesNewRomanPSMT"/>
        </w:rPr>
        <w:br/>
        <w:t xml:space="preserve">Source: America’s Families and Living Arrangements: 2015, Table A1 </w:t>
      </w:r>
      <w:r>
        <w:rPr>
          <w:rFonts w:ascii="TimesNewRomanPSMT" w:hAnsi="TimesNewRomanPSMT" w:cs="TimesNewRomanPSMT"/>
          <w:color w:val="0000FF"/>
        </w:rPr>
        <w:t xml:space="preserve">www.census.gov/hhes/families/data/cps2015A.html </w:t>
      </w:r>
    </w:p>
    <w:p w14:paraId="7BAFB06D" w14:textId="77777777" w:rsidR="00633456" w:rsidRDefault="00633456" w:rsidP="00633456">
      <w:pPr>
        <w:pStyle w:val="NormalWeb"/>
      </w:pPr>
      <w:r>
        <w:rPr>
          <w:rFonts w:ascii="TimesNewRomanPS" w:hAnsi="TimesNewRomanPS"/>
          <w:b/>
          <w:bCs/>
          <w:color w:val="FF0000"/>
          <w:sz w:val="36"/>
          <w:szCs w:val="36"/>
        </w:rPr>
        <w:t xml:space="preserve">53% </w:t>
      </w:r>
    </w:p>
    <w:p w14:paraId="1E102FC6" w14:textId="77777777" w:rsidR="00633456" w:rsidRDefault="00633456" w:rsidP="00633456">
      <w:pPr>
        <w:pStyle w:val="NormalWeb"/>
      </w:pPr>
      <w:r>
        <w:rPr>
          <w:rFonts w:ascii="TimesNewRomanPSMT" w:hAnsi="TimesNewRomanPSMT" w:cs="TimesNewRomanPSMT"/>
        </w:rPr>
        <w:t xml:space="preserve">The percentage of unmarried U.S. residents 18 and older who were women in 2015; </w:t>
      </w:r>
      <w:r>
        <w:rPr>
          <w:rFonts w:ascii="TimesNewRomanPSMT" w:hAnsi="TimesNewRomanPSMT" w:cs="TimesNewRomanPSMT"/>
          <w:color w:val="FF0000"/>
        </w:rPr>
        <w:t xml:space="preserve">47 percent </w:t>
      </w:r>
      <w:r>
        <w:rPr>
          <w:rFonts w:ascii="TimesNewRomanPSMT" w:hAnsi="TimesNewRomanPSMT" w:cs="TimesNewRomanPSMT"/>
        </w:rPr>
        <w:t>were men.</w:t>
      </w:r>
      <w:r>
        <w:rPr>
          <w:rFonts w:ascii="TimesNewRomanPSMT" w:hAnsi="TimesNewRomanPSMT" w:cs="TimesNewRomanPSMT"/>
        </w:rPr>
        <w:br/>
        <w:t xml:space="preserve">Source: America’s Families and Living Arrangements: 2015, Table A1 </w:t>
      </w:r>
      <w:r>
        <w:rPr>
          <w:rFonts w:ascii="TimesNewRomanPSMT" w:hAnsi="TimesNewRomanPSMT" w:cs="TimesNewRomanPSMT"/>
          <w:color w:val="0000FF"/>
        </w:rPr>
        <w:t xml:space="preserve">www.census.gov/hhes/families/data/cps2015A.html </w:t>
      </w:r>
    </w:p>
    <w:bookmarkEnd w:id="0"/>
    <w:p w14:paraId="6E05813D" w14:textId="77777777" w:rsidR="00633456" w:rsidRDefault="00633456" w:rsidP="00633456">
      <w:pPr>
        <w:pStyle w:val="NormalWeb"/>
      </w:pPr>
      <w:r>
        <w:rPr>
          <w:rFonts w:ascii="TimesNewRomanPS" w:hAnsi="TimesNewRomanPS"/>
          <w:b/>
          <w:bCs/>
          <w:sz w:val="36"/>
          <w:szCs w:val="36"/>
        </w:rPr>
        <w:t xml:space="preserve">63% </w:t>
      </w:r>
    </w:p>
    <w:p w14:paraId="643BF7D8" w14:textId="77777777" w:rsidR="00633456" w:rsidRDefault="00633456" w:rsidP="00633456">
      <w:pPr>
        <w:pStyle w:val="NormalWeb"/>
      </w:pPr>
      <w:r>
        <w:rPr>
          <w:rFonts w:ascii="TimesNewRomanPSMT" w:hAnsi="TimesNewRomanPSMT" w:cs="TimesNewRomanPSMT"/>
        </w:rPr>
        <w:t>The percentage of unmarried U.S. residents 18 and older in 2015 who had never been married. Another 24 percent were divorced and 13 percent were widowed.</w:t>
      </w:r>
      <w:r>
        <w:rPr>
          <w:rFonts w:ascii="TimesNewRomanPSMT" w:hAnsi="TimesNewRomanPSMT" w:cs="TimesNewRomanPSMT"/>
        </w:rPr>
        <w:br/>
        <w:t xml:space="preserve">Source: America’s Families and Living Arrangements: 2015, Table A1 </w:t>
      </w:r>
      <w:r>
        <w:rPr>
          <w:rFonts w:ascii="TimesNewRomanPSMT" w:hAnsi="TimesNewRomanPSMT" w:cs="TimesNewRomanPSMT"/>
          <w:color w:val="0000FF"/>
        </w:rPr>
        <w:t xml:space="preserve">www.census.gov/hhes/families/data/cps2015A.html </w:t>
      </w:r>
    </w:p>
    <w:p w14:paraId="6BA00EE1" w14:textId="77777777" w:rsidR="00633456" w:rsidRDefault="00633456" w:rsidP="00633456">
      <w:pPr>
        <w:pStyle w:val="NormalWeb"/>
      </w:pPr>
      <w:r>
        <w:rPr>
          <w:rFonts w:ascii="TimesNewRomanPS" w:hAnsi="TimesNewRomanPS"/>
          <w:b/>
          <w:bCs/>
          <w:sz w:val="36"/>
          <w:szCs w:val="36"/>
        </w:rPr>
        <w:t xml:space="preserve">19 million </w:t>
      </w:r>
    </w:p>
    <w:p w14:paraId="7667BFC7" w14:textId="77777777" w:rsidR="00633456" w:rsidRDefault="00633456" w:rsidP="00633456">
      <w:pPr>
        <w:pStyle w:val="NormalWeb"/>
      </w:pPr>
      <w:r>
        <w:rPr>
          <w:rFonts w:ascii="TimesNewRomanPSMT" w:hAnsi="TimesNewRomanPSMT" w:cs="TimesNewRomanPSMT"/>
        </w:rPr>
        <w:lastRenderedPageBreak/>
        <w:t>The number of unmarried U.S. residents 65 and older in 2015. These seniors made up 18 percent of all unmarried people 18 and older.</w:t>
      </w:r>
      <w:r>
        <w:rPr>
          <w:rFonts w:ascii="TimesNewRomanPSMT" w:hAnsi="TimesNewRomanPSMT" w:cs="TimesNewRomanPSMT"/>
        </w:rPr>
        <w:br/>
        <w:t xml:space="preserve">Source: America’s Families and Living Arrangements: 2015, Table A1 </w:t>
      </w:r>
      <w:r>
        <w:rPr>
          <w:rFonts w:ascii="TimesNewRomanPSMT" w:hAnsi="TimesNewRomanPSMT" w:cs="TimesNewRomanPSMT"/>
          <w:color w:val="0000FF"/>
        </w:rPr>
        <w:t xml:space="preserve">www.census.gov/hhes/families/data/cps2015A.html </w:t>
      </w:r>
    </w:p>
    <w:p w14:paraId="053520D2" w14:textId="77777777" w:rsidR="00633456" w:rsidRDefault="00633456" w:rsidP="00633456">
      <w:pPr>
        <w:pStyle w:val="NormalWeb"/>
      </w:pPr>
      <w:r>
        <w:rPr>
          <w:rFonts w:ascii="TimesNewRomanPS" w:hAnsi="TimesNewRomanPS"/>
          <w:b/>
          <w:bCs/>
          <w:sz w:val="36"/>
          <w:szCs w:val="36"/>
        </w:rPr>
        <w:t xml:space="preserve">88 </w:t>
      </w:r>
    </w:p>
    <w:p w14:paraId="6238BE93" w14:textId="77777777" w:rsidR="00633456" w:rsidRDefault="00633456" w:rsidP="00633456">
      <w:pPr>
        <w:pStyle w:val="NormalWeb"/>
      </w:pPr>
      <w:r>
        <w:rPr>
          <w:rFonts w:ascii="TimesNewRomanPSMT" w:hAnsi="TimesNewRomanPSMT" w:cs="TimesNewRomanPSMT"/>
        </w:rPr>
        <w:t>The number of unmarried men 18 and older for every 100 unmarried women in the United States in 2015.</w:t>
      </w:r>
      <w:r>
        <w:rPr>
          <w:rFonts w:ascii="TimesNewRomanPSMT" w:hAnsi="TimesNewRomanPSMT" w:cs="TimesNewRomanPSMT"/>
        </w:rPr>
        <w:br/>
        <w:t xml:space="preserve">Source: America’s Families and Living Arrangements: 2015, Table A1 </w:t>
      </w:r>
      <w:r>
        <w:rPr>
          <w:rFonts w:ascii="TimesNewRomanPSMT" w:hAnsi="TimesNewRomanPSMT" w:cs="TimesNewRomanPSMT"/>
          <w:color w:val="0000FF"/>
        </w:rPr>
        <w:t xml:space="preserve">www.census.gov/hhes/families/data/cps2015A.html </w:t>
      </w:r>
    </w:p>
    <w:p w14:paraId="35F406A3" w14:textId="77777777" w:rsidR="00633456" w:rsidRDefault="00633456" w:rsidP="00633456">
      <w:pPr>
        <w:pStyle w:val="NormalWeb"/>
      </w:pPr>
      <w:r>
        <w:rPr>
          <w:rFonts w:ascii="TimesNewRomanPS" w:hAnsi="TimesNewRomanPS"/>
          <w:b/>
          <w:bCs/>
          <w:sz w:val="36"/>
          <w:szCs w:val="36"/>
        </w:rPr>
        <w:t xml:space="preserve">59 million </w:t>
      </w:r>
    </w:p>
    <w:p w14:paraId="6DAF7101" w14:textId="77777777" w:rsidR="00633456" w:rsidRDefault="00633456" w:rsidP="00633456">
      <w:pPr>
        <w:pStyle w:val="NormalWeb"/>
      </w:pPr>
      <w:r>
        <w:rPr>
          <w:rFonts w:ascii="TimesNewRomanPSMT" w:hAnsi="TimesNewRomanPSMT" w:cs="TimesNewRomanPSMT"/>
        </w:rPr>
        <w:t>The number of households maintained by unmarried men and women in 2015. These households comprised 47 percent of households nationwide.</w:t>
      </w:r>
      <w:r>
        <w:rPr>
          <w:rFonts w:ascii="TimesNewRomanPSMT" w:hAnsi="TimesNewRomanPSMT" w:cs="TimesNewRomanPSMT"/>
        </w:rPr>
        <w:br/>
        <w:t xml:space="preserve">Source: America’s Families and Living Arrangements: 2015, Table H1 </w:t>
      </w:r>
      <w:r>
        <w:rPr>
          <w:rFonts w:ascii="TimesNewRomanPSMT" w:hAnsi="TimesNewRomanPSMT" w:cs="TimesNewRomanPSMT"/>
          <w:color w:val="0000FF"/>
        </w:rPr>
        <w:t xml:space="preserve">www.census.gov/hhes/families/data/cps2015A.html </w:t>
      </w:r>
    </w:p>
    <w:p w14:paraId="7E8F32BD" w14:textId="77777777" w:rsidR="00633456" w:rsidRDefault="00633456" w:rsidP="00633456">
      <w:pPr>
        <w:pStyle w:val="NormalWeb"/>
      </w:pPr>
      <w:r>
        <w:rPr>
          <w:rFonts w:ascii="TimesNewRomanPS" w:hAnsi="TimesNewRomanPS"/>
          <w:b/>
          <w:bCs/>
          <w:sz w:val="36"/>
          <w:szCs w:val="36"/>
        </w:rPr>
        <w:t xml:space="preserve">35 million </w:t>
      </w:r>
    </w:p>
    <w:p w14:paraId="569A74C5" w14:textId="77777777" w:rsidR="00633456" w:rsidRDefault="00633456" w:rsidP="00633456">
      <w:pPr>
        <w:pStyle w:val="NormalWeb"/>
      </w:pPr>
      <w:r>
        <w:rPr>
          <w:rFonts w:ascii="TimesNewRomanPSMT" w:hAnsi="TimesNewRomanPSMT" w:cs="TimesNewRomanPSMT"/>
        </w:rPr>
        <w:t>The number of people who lived alone in 2015. They comprised 28 percent of all households, up from 17 percent in 1970.</w:t>
      </w:r>
      <w:r>
        <w:rPr>
          <w:rFonts w:ascii="TimesNewRomanPSMT" w:hAnsi="TimesNewRomanPSMT" w:cs="TimesNewRomanPSMT"/>
        </w:rPr>
        <w:br/>
        <w:t xml:space="preserve">Source: America’s Families and Living Arrangements: 2015, Table H-1, America’s Families and Living Arrangements: 1960 to Present, Table HH-4 </w:t>
      </w:r>
      <w:r>
        <w:rPr>
          <w:rFonts w:ascii="TimesNewRomanPSMT" w:hAnsi="TimesNewRomanPSMT" w:cs="TimesNewRomanPSMT"/>
          <w:color w:val="0000FF"/>
        </w:rPr>
        <w:t xml:space="preserve">www.census.gov/hhes/families/data/cps2015H.html </w:t>
      </w:r>
    </w:p>
    <w:p w14:paraId="7E7E89FF" w14:textId="77777777" w:rsidR="00633456" w:rsidRDefault="00633456" w:rsidP="00633456">
      <w:pPr>
        <w:pStyle w:val="NormalWeb"/>
      </w:pPr>
      <w:r>
        <w:rPr>
          <w:rFonts w:ascii="TimesNewRomanPS" w:hAnsi="TimesNewRomanPS"/>
          <w:b/>
          <w:bCs/>
          <w:sz w:val="36"/>
          <w:szCs w:val="36"/>
        </w:rPr>
        <w:t xml:space="preserve">36% </w:t>
      </w:r>
    </w:p>
    <w:p w14:paraId="5780F312" w14:textId="77777777" w:rsidR="00633456" w:rsidRDefault="00633456" w:rsidP="00633456">
      <w:pPr>
        <w:pStyle w:val="NormalWeb"/>
      </w:pPr>
      <w:r>
        <w:rPr>
          <w:rFonts w:ascii="TimesNewRomanPS" w:hAnsi="TimesNewRomanPS"/>
          <w:b/>
          <w:bCs/>
          <w:sz w:val="36"/>
          <w:szCs w:val="36"/>
        </w:rPr>
        <w:t xml:space="preserve">Parenting </w:t>
      </w:r>
    </w:p>
    <w:p w14:paraId="08F9E810" w14:textId="77777777" w:rsidR="00633456" w:rsidRDefault="00633456" w:rsidP="00633456">
      <w:pPr>
        <w:pStyle w:val="NormalWeb"/>
      </w:pPr>
      <w:r>
        <w:rPr>
          <w:rFonts w:ascii="TimesNewRomanPSMT" w:hAnsi="TimesNewRomanPSMT" w:cs="TimesNewRomanPSMT"/>
        </w:rPr>
        <w:t>The percentage of women age 15 to 50 with a birth in the last 12 months, as of 2014, who were widowed, divorced or never married.</w:t>
      </w:r>
      <w:r>
        <w:rPr>
          <w:rFonts w:ascii="TimesNewRomanPSMT" w:hAnsi="TimesNewRomanPSMT" w:cs="TimesNewRomanPSMT"/>
        </w:rPr>
        <w:br/>
        <w:t xml:space="preserve">Source: 2014 American Community Survey, Table B13002 </w:t>
      </w:r>
      <w:r>
        <w:rPr>
          <w:rFonts w:ascii="TimesNewRomanPSMT" w:hAnsi="TimesNewRomanPSMT" w:cs="TimesNewRomanPSMT"/>
          <w:color w:val="0000FF"/>
        </w:rPr>
        <w:t xml:space="preserve">http://factfinder.census.gov/bkmk/table/1.0/en/ACS/14_5YR/B13002 </w:t>
      </w:r>
    </w:p>
    <w:p w14:paraId="76485E37" w14:textId="77777777" w:rsidR="00633456" w:rsidRDefault="00633456" w:rsidP="00633456">
      <w:pPr>
        <w:pStyle w:val="NormalWeb"/>
      </w:pPr>
      <w:r>
        <w:rPr>
          <w:rFonts w:ascii="TimesNewRomanPS" w:hAnsi="TimesNewRomanPS"/>
          <w:b/>
          <w:bCs/>
          <w:sz w:val="36"/>
          <w:szCs w:val="36"/>
        </w:rPr>
        <w:t xml:space="preserve">39% </w:t>
      </w:r>
    </w:p>
    <w:p w14:paraId="51534ADB" w14:textId="77777777" w:rsidR="00633456" w:rsidRDefault="00633456" w:rsidP="00633456">
      <w:pPr>
        <w:pStyle w:val="NormalWeb"/>
      </w:pPr>
      <w:r>
        <w:rPr>
          <w:rFonts w:ascii="TimesNewRomanPSMT" w:hAnsi="TimesNewRomanPSMT" w:cs="TimesNewRomanPSMT"/>
        </w:rPr>
        <w:t>The percentage of opposite-sex, unmarried-partner couples in 2015 that lived with at least one biological child of either partner.</w:t>
      </w:r>
      <w:r>
        <w:rPr>
          <w:rFonts w:ascii="TimesNewRomanPSMT" w:hAnsi="TimesNewRomanPSMT" w:cs="TimesNewRomanPSMT"/>
        </w:rPr>
        <w:br/>
        <w:t xml:space="preserve">Source: America’s Families and Living Arrangements: 2015, Table UC3 </w:t>
      </w:r>
      <w:r>
        <w:rPr>
          <w:rFonts w:ascii="TimesNewRomanPSMT" w:hAnsi="TimesNewRomanPSMT" w:cs="TimesNewRomanPSMT"/>
          <w:color w:val="0000FF"/>
        </w:rPr>
        <w:t xml:space="preserve">www.census.gov/hhes/families/data/cps2015UC.html </w:t>
      </w:r>
    </w:p>
    <w:p w14:paraId="036B9C8A" w14:textId="77777777" w:rsidR="00633456" w:rsidRDefault="00633456" w:rsidP="00633456">
      <w:pPr>
        <w:pStyle w:val="NormalWeb"/>
      </w:pPr>
      <w:r>
        <w:rPr>
          <w:rFonts w:ascii="TimesNewRomanPS" w:hAnsi="TimesNewRomanPS"/>
          <w:b/>
          <w:bCs/>
          <w:sz w:val="36"/>
          <w:szCs w:val="36"/>
        </w:rPr>
        <w:t xml:space="preserve">788,730 </w:t>
      </w:r>
    </w:p>
    <w:p w14:paraId="5260F99A" w14:textId="77777777" w:rsidR="00633456" w:rsidRDefault="00633456" w:rsidP="00633456">
      <w:pPr>
        <w:pStyle w:val="NormalWeb"/>
      </w:pPr>
      <w:r>
        <w:rPr>
          <w:rFonts w:ascii="TimesNewRomanPSMT" w:hAnsi="TimesNewRomanPSMT" w:cs="TimesNewRomanPSMT"/>
        </w:rPr>
        <w:t xml:space="preserve">The number of unmarried grandparents who were responsible for most of the basic care of a co- resident grandchild in 2014; 30 percent of </w:t>
      </w:r>
      <w:proofErr w:type="spellStart"/>
      <w:r>
        <w:rPr>
          <w:rFonts w:ascii="TimesNewRomanPSMT" w:hAnsi="TimesNewRomanPSMT" w:cs="TimesNewRomanPSMT"/>
        </w:rPr>
        <w:t>coresident</w:t>
      </w:r>
      <w:proofErr w:type="spellEnd"/>
      <w:r>
        <w:rPr>
          <w:rFonts w:ascii="TimesNewRomanPSMT" w:hAnsi="TimesNewRomanPSMT" w:cs="TimesNewRomanPSMT"/>
        </w:rPr>
        <w:t xml:space="preserve"> grandparents responsible for their grandchildren were unmarried.</w:t>
      </w:r>
      <w:r>
        <w:rPr>
          <w:rFonts w:ascii="TimesNewRomanPSMT" w:hAnsi="TimesNewRomanPSMT" w:cs="TimesNewRomanPSMT"/>
        </w:rPr>
        <w:br/>
        <w:t xml:space="preserve">Source: 2014 American Community Survey, Table B10057 </w:t>
      </w:r>
      <w:r>
        <w:rPr>
          <w:rFonts w:ascii="TimesNewRomanPSMT" w:hAnsi="TimesNewRomanPSMT" w:cs="TimesNewRomanPSMT"/>
          <w:color w:val="0000FF"/>
        </w:rPr>
        <w:t xml:space="preserve">http://factfinder.census.gov/faces/tableservices/jsf/pages/productview.xhtml?pid=ACS_14_1YR _B10057&amp;prodType=table </w:t>
      </w:r>
    </w:p>
    <w:p w14:paraId="6D546DDF" w14:textId="77777777" w:rsidR="00633456" w:rsidRDefault="00633456" w:rsidP="00633456">
      <w:pPr>
        <w:pStyle w:val="NormalWeb"/>
      </w:pPr>
      <w:r>
        <w:rPr>
          <w:rFonts w:ascii="TimesNewRomanPS" w:hAnsi="TimesNewRomanPS"/>
          <w:b/>
          <w:bCs/>
          <w:sz w:val="36"/>
          <w:szCs w:val="36"/>
        </w:rPr>
        <w:t xml:space="preserve">7 million </w:t>
      </w:r>
    </w:p>
    <w:p w14:paraId="5B07F78D" w14:textId="77777777" w:rsidR="00633456" w:rsidRDefault="00633456" w:rsidP="00633456">
      <w:pPr>
        <w:pStyle w:val="NormalWeb"/>
      </w:pPr>
      <w:r>
        <w:rPr>
          <w:rFonts w:ascii="TimesNewRomanPS" w:hAnsi="TimesNewRomanPS"/>
          <w:b/>
          <w:bCs/>
          <w:sz w:val="36"/>
          <w:szCs w:val="36"/>
        </w:rPr>
        <w:t xml:space="preserve">Unmarried Couples </w:t>
      </w:r>
    </w:p>
    <w:p w14:paraId="5BB0B9A8" w14:textId="77777777" w:rsidR="00633456" w:rsidRDefault="00633456" w:rsidP="00633456">
      <w:pPr>
        <w:pStyle w:val="NormalWeb"/>
      </w:pPr>
      <w:r>
        <w:rPr>
          <w:rFonts w:ascii="TimesNewRomanPSMT" w:hAnsi="TimesNewRomanPSMT" w:cs="TimesNewRomanPSMT"/>
        </w:rPr>
        <w:t>The number of unmarried-partner households in 2014. Of this number, 448,271 were same-sex households.</w:t>
      </w:r>
      <w:r>
        <w:rPr>
          <w:rFonts w:ascii="TimesNewRomanPSMT" w:hAnsi="TimesNewRomanPSMT" w:cs="TimesNewRomanPSMT"/>
        </w:rPr>
        <w:br/>
        <w:t xml:space="preserve">Source: 2014 American Community Survey Table, B11009 </w:t>
      </w:r>
      <w:r>
        <w:rPr>
          <w:rFonts w:ascii="TimesNewRomanPSMT" w:hAnsi="TimesNewRomanPSMT" w:cs="TimesNewRomanPSMT"/>
          <w:color w:val="0000FF"/>
        </w:rPr>
        <w:t xml:space="preserve">http://factfinder.census.gov/bkmk/table/1.0/en/ACS/14_1YR/B11009 </w:t>
      </w:r>
    </w:p>
    <w:p w14:paraId="25CF4F47" w14:textId="77777777" w:rsidR="00633456" w:rsidRDefault="00633456" w:rsidP="00633456">
      <w:pPr>
        <w:pStyle w:val="NormalWeb"/>
      </w:pPr>
      <w:r>
        <w:rPr>
          <w:rFonts w:ascii="TimesNewRomanPS" w:hAnsi="TimesNewRomanPS"/>
          <w:b/>
          <w:bCs/>
          <w:sz w:val="36"/>
          <w:szCs w:val="36"/>
        </w:rPr>
        <w:t xml:space="preserve">39% </w:t>
      </w:r>
    </w:p>
    <w:p w14:paraId="1D212A31" w14:textId="77777777" w:rsidR="00633456" w:rsidRDefault="00633456" w:rsidP="00633456">
      <w:pPr>
        <w:pStyle w:val="NormalWeb"/>
      </w:pPr>
      <w:r>
        <w:rPr>
          <w:rFonts w:ascii="TimesNewRomanPS" w:hAnsi="TimesNewRomanPS"/>
          <w:b/>
          <w:bCs/>
          <w:sz w:val="36"/>
          <w:szCs w:val="36"/>
        </w:rPr>
        <w:t xml:space="preserve">Voters </w:t>
      </w:r>
    </w:p>
    <w:p w14:paraId="1C5C53A6" w14:textId="77777777" w:rsidR="00633456" w:rsidRDefault="00633456" w:rsidP="00633456">
      <w:pPr>
        <w:pStyle w:val="NormalWeb"/>
      </w:pPr>
      <w:r>
        <w:rPr>
          <w:rFonts w:ascii="TimesNewRomanPSMT" w:hAnsi="TimesNewRomanPSMT" w:cs="TimesNewRomanPSMT"/>
        </w:rPr>
        <w:t>The percentage of voters in the 2012 presidential election who were unmarried, compared with 24 percent of voters in the 1972 presidential election.</w:t>
      </w:r>
      <w:r>
        <w:rPr>
          <w:rFonts w:ascii="TimesNewRomanPSMT" w:hAnsi="TimesNewRomanPSMT" w:cs="TimesNewRomanPSMT"/>
        </w:rPr>
        <w:br/>
        <w:t xml:space="preserve">Source: Voting and Registration in the Election of 2012, Table 9, and Characteristics of New Voters: 1972 </w:t>
      </w:r>
    </w:p>
    <w:p w14:paraId="1D01C379" w14:textId="77777777" w:rsidR="00633456" w:rsidRDefault="00633456" w:rsidP="00633456">
      <w:pPr>
        <w:pStyle w:val="NormalWeb"/>
      </w:pPr>
      <w:r>
        <w:rPr>
          <w:rFonts w:ascii="TimesNewRomanPSMT" w:hAnsi="TimesNewRomanPSMT" w:cs="TimesNewRomanPSMT"/>
          <w:color w:val="0000FF"/>
        </w:rPr>
        <w:t xml:space="preserve">www.census.gov/hhes/www/socdemo/voting/publications/p20/2012/tables.html www.census.gov/topics/public-sector/voting/data/tables.1972.html </w:t>
      </w:r>
    </w:p>
    <w:p w14:paraId="67B4CD53" w14:textId="77777777" w:rsidR="00633456" w:rsidRDefault="00633456" w:rsidP="00633456">
      <w:pPr>
        <w:pStyle w:val="NormalWeb"/>
      </w:pPr>
      <w:r>
        <w:rPr>
          <w:rFonts w:ascii="TimesNewRomanPS" w:hAnsi="TimesNewRomanPS"/>
          <w:b/>
          <w:bCs/>
          <w:sz w:val="36"/>
          <w:szCs w:val="36"/>
        </w:rPr>
        <w:t xml:space="preserve">35% </w:t>
      </w:r>
    </w:p>
    <w:p w14:paraId="1E35D739" w14:textId="77777777" w:rsidR="00633456" w:rsidRDefault="00633456" w:rsidP="00633456">
      <w:pPr>
        <w:pStyle w:val="NormalWeb"/>
      </w:pPr>
      <w:r>
        <w:rPr>
          <w:rFonts w:ascii="TimesNewRomanPSMT" w:hAnsi="TimesNewRomanPSMT" w:cs="TimesNewRomanPSMT"/>
        </w:rPr>
        <w:t xml:space="preserve">The percentage of voters in the 2014 November congressional election who were unmarried. Source: Voting and Registration in the Election of 2014, Table 9 </w:t>
      </w:r>
      <w:r>
        <w:rPr>
          <w:rFonts w:ascii="TimesNewRomanPSMT" w:hAnsi="TimesNewRomanPSMT" w:cs="TimesNewRomanPSMT"/>
          <w:color w:val="0000FF"/>
        </w:rPr>
        <w:t xml:space="preserve">www.census.gov/data/tables/time-series/demo/voting-and-registration/p20-577.html </w:t>
      </w:r>
    </w:p>
    <w:p w14:paraId="128E7908" w14:textId="77777777" w:rsidR="00633456" w:rsidRDefault="00633456" w:rsidP="00633456">
      <w:pPr>
        <w:pStyle w:val="NormalWeb"/>
      </w:pPr>
      <w:r>
        <w:rPr>
          <w:rFonts w:ascii="TimesNewRomanPS" w:hAnsi="TimesNewRomanPS"/>
          <w:b/>
          <w:bCs/>
          <w:sz w:val="36"/>
          <w:szCs w:val="36"/>
        </w:rPr>
        <w:t xml:space="preserve">87% </w:t>
      </w:r>
    </w:p>
    <w:p w14:paraId="7EC5DAC7" w14:textId="77777777" w:rsidR="00633456" w:rsidRDefault="00633456" w:rsidP="00633456">
      <w:pPr>
        <w:pStyle w:val="NormalWeb"/>
      </w:pPr>
      <w:r>
        <w:rPr>
          <w:rFonts w:ascii="TimesNewRomanPS" w:hAnsi="TimesNewRomanPS"/>
          <w:b/>
          <w:bCs/>
          <w:sz w:val="36"/>
          <w:szCs w:val="36"/>
        </w:rPr>
        <w:t xml:space="preserve">Education </w:t>
      </w:r>
    </w:p>
    <w:p w14:paraId="07671150" w14:textId="77777777" w:rsidR="00633456" w:rsidRDefault="00633456" w:rsidP="00633456">
      <w:pPr>
        <w:pStyle w:val="NormalWeb"/>
      </w:pPr>
      <w:r>
        <w:rPr>
          <w:rFonts w:ascii="TimesNewRomanPSMT" w:hAnsi="TimesNewRomanPSMT" w:cs="TimesNewRomanPSMT"/>
        </w:rPr>
        <w:t>The percentage of unmarried people 25 and older in 2015 who had completed high school or more education</w:t>
      </w:r>
      <w:r>
        <w:rPr>
          <w:rFonts w:ascii="TimesNewRomanPSMT" w:hAnsi="TimesNewRomanPSMT" w:cs="TimesNewRomanPSMT"/>
        </w:rPr>
        <w:br/>
        <w:t xml:space="preserve">Source: Educational Attainment in the United States: 2015, Table 2 </w:t>
      </w:r>
      <w:r>
        <w:rPr>
          <w:rFonts w:ascii="TimesNewRomanPSMT" w:hAnsi="TimesNewRomanPSMT" w:cs="TimesNewRomanPSMT"/>
          <w:color w:val="0000FF"/>
        </w:rPr>
        <w:t xml:space="preserve">www.census.gov/hhes/socdemo/education/data/cps/2015/tables.html </w:t>
      </w:r>
    </w:p>
    <w:p w14:paraId="180FD7D9" w14:textId="77777777" w:rsidR="00633456" w:rsidRDefault="00633456" w:rsidP="00633456">
      <w:pPr>
        <w:pStyle w:val="NormalWeb"/>
      </w:pPr>
      <w:r>
        <w:rPr>
          <w:rFonts w:ascii="TimesNewRomanPS" w:hAnsi="TimesNewRomanPS"/>
          <w:b/>
          <w:bCs/>
          <w:sz w:val="36"/>
          <w:szCs w:val="36"/>
        </w:rPr>
        <w:t xml:space="preserve">27% </w:t>
      </w:r>
    </w:p>
    <w:p w14:paraId="32D852A2" w14:textId="77777777" w:rsidR="00633456" w:rsidRDefault="00633456" w:rsidP="00633456">
      <w:pPr>
        <w:pStyle w:val="NormalWeb"/>
      </w:pPr>
      <w:r>
        <w:rPr>
          <w:rFonts w:ascii="TimesNewRomanPSMT" w:hAnsi="TimesNewRomanPSMT" w:cs="TimesNewRomanPSMT"/>
        </w:rPr>
        <w:t>The percentage of unmarried people 25 and older in 2015 with a bachelor’s degree or more education.</w:t>
      </w:r>
      <w:r>
        <w:rPr>
          <w:rFonts w:ascii="PMingLiU" w:eastAsia="PMingLiU" w:hAnsi="PMingLiU" w:cs="PMingLiU"/>
        </w:rPr>
        <w:br/>
      </w:r>
      <w:r>
        <w:rPr>
          <w:rFonts w:ascii="TimesNewRomanPSMT" w:hAnsi="TimesNewRomanPSMT" w:cs="TimesNewRomanPSMT"/>
        </w:rPr>
        <w:t xml:space="preserve">Source: Educational Attainment in the United States: 2015, Table 2 </w:t>
      </w:r>
      <w:r>
        <w:rPr>
          <w:rFonts w:ascii="TimesNewRomanPSMT" w:hAnsi="TimesNewRomanPSMT" w:cs="TimesNewRomanPSMT"/>
          <w:color w:val="0000FF"/>
        </w:rPr>
        <w:t xml:space="preserve">www.census.gov/hhes/socdemo/education/data/cps/2015/tables.html </w:t>
      </w:r>
    </w:p>
    <w:p w14:paraId="2FE6F089" w14:textId="77777777" w:rsidR="00633456" w:rsidRDefault="00633456" w:rsidP="00633456">
      <w:pPr>
        <w:pStyle w:val="NormalWeb"/>
      </w:pPr>
      <w:r>
        <w:rPr>
          <w:rFonts w:ascii="TimesNewRomanPSMT" w:hAnsi="TimesNewRomanPSMT" w:cs="TimesNewRomanPSMT"/>
        </w:rPr>
        <w:t xml:space="preserve">Following is a list of observances typically covered by the Census Bureau’s </w:t>
      </w:r>
      <w:r>
        <w:rPr>
          <w:rFonts w:ascii="TimesNewRomanPS" w:hAnsi="TimesNewRomanPS"/>
          <w:i/>
          <w:iCs/>
        </w:rPr>
        <w:t xml:space="preserve">Facts for Features </w:t>
      </w:r>
      <w:r>
        <w:rPr>
          <w:rFonts w:ascii="TimesNewRomanPSMT" w:hAnsi="TimesNewRomanPSMT" w:cs="TimesNewRomanPSMT"/>
        </w:rPr>
        <w:t xml:space="preserve">series: </w:t>
      </w:r>
    </w:p>
    <w:p w14:paraId="49A68FE3" w14:textId="77777777" w:rsidR="00633456" w:rsidRDefault="00633456" w:rsidP="00633456">
      <w:pPr>
        <w:pStyle w:val="NormalWeb"/>
      </w:pPr>
      <w:r>
        <w:rPr>
          <w:rFonts w:ascii="Calibri" w:hAnsi="Calibri"/>
          <w:sz w:val="20"/>
          <w:szCs w:val="20"/>
        </w:rPr>
        <w:t>African-American History Month (February) Super Bowl (first Sunday in February) Valentine’s Day (Feb. 14)</w:t>
      </w:r>
      <w:r>
        <w:rPr>
          <w:rFonts w:ascii="Calibri" w:hAnsi="Calibri"/>
          <w:sz w:val="20"/>
          <w:szCs w:val="20"/>
        </w:rPr>
        <w:br/>
        <w:t xml:space="preserve">Women’s History Month (March) Irish-American Heritage Month (March)/ St. Patrick’s Day (March 17) </w:t>
      </w:r>
    </w:p>
    <w:p w14:paraId="15EAC252" w14:textId="77777777" w:rsidR="00633456" w:rsidRDefault="00633456" w:rsidP="00633456">
      <w:pPr>
        <w:pStyle w:val="NormalWeb"/>
      </w:pPr>
      <w:r>
        <w:rPr>
          <w:rFonts w:ascii="Calibri" w:hAnsi="Calibri"/>
          <w:sz w:val="20"/>
          <w:szCs w:val="20"/>
        </w:rPr>
        <w:t>Earth Day (April 22)</w:t>
      </w:r>
      <w:r>
        <w:rPr>
          <w:rFonts w:ascii="Calibri" w:hAnsi="Calibri"/>
          <w:sz w:val="20"/>
          <w:szCs w:val="20"/>
        </w:rPr>
        <w:br/>
        <w:t>Asian/Pacific American Heritage Month (May)</w:t>
      </w:r>
      <w:r>
        <w:rPr>
          <w:rFonts w:ascii="Calibri" w:hAnsi="Calibri"/>
          <w:sz w:val="20"/>
          <w:szCs w:val="20"/>
        </w:rPr>
        <w:br/>
        <w:t>Older Americans Month (May)</w:t>
      </w:r>
      <w:r>
        <w:rPr>
          <w:rFonts w:ascii="Calibri" w:hAnsi="Calibri"/>
          <w:sz w:val="20"/>
          <w:szCs w:val="20"/>
        </w:rPr>
        <w:br/>
        <w:t>Mother’s Day (2nd Sunday in May)</w:t>
      </w:r>
      <w:r>
        <w:rPr>
          <w:rFonts w:ascii="PMingLiU" w:eastAsia="PMingLiU" w:hAnsi="PMingLiU" w:cs="PMingLiU"/>
          <w:sz w:val="20"/>
          <w:szCs w:val="20"/>
        </w:rPr>
        <w:br/>
      </w:r>
      <w:r>
        <w:rPr>
          <w:rFonts w:ascii="Calibri" w:hAnsi="Calibri"/>
          <w:sz w:val="20"/>
          <w:szCs w:val="20"/>
        </w:rPr>
        <w:t>Hurricane Season Begins (June 1)</w:t>
      </w:r>
      <w:r>
        <w:rPr>
          <w:rFonts w:ascii="Calibri" w:hAnsi="Calibri"/>
          <w:sz w:val="20"/>
          <w:szCs w:val="20"/>
        </w:rPr>
        <w:br/>
        <w:t>Father’s Day (third Sunday in June)</w:t>
      </w:r>
      <w:r>
        <w:rPr>
          <w:rFonts w:ascii="PMingLiU" w:eastAsia="PMingLiU" w:hAnsi="PMingLiU" w:cs="PMingLiU"/>
          <w:sz w:val="20"/>
          <w:szCs w:val="20"/>
        </w:rPr>
        <w:br/>
      </w:r>
      <w:r>
        <w:rPr>
          <w:rFonts w:ascii="Calibri" w:hAnsi="Calibri"/>
          <w:sz w:val="20"/>
          <w:szCs w:val="20"/>
        </w:rPr>
        <w:t>The Fourth of July (</w:t>
      </w:r>
      <w:proofErr w:type="spellStart"/>
      <w:r>
        <w:rPr>
          <w:rFonts w:ascii="Calibri" w:hAnsi="Calibri"/>
          <w:sz w:val="20"/>
          <w:szCs w:val="20"/>
        </w:rPr>
        <w:t>July</w:t>
      </w:r>
      <w:proofErr w:type="spellEnd"/>
      <w:r>
        <w:rPr>
          <w:rFonts w:ascii="Calibri" w:hAnsi="Calibri"/>
          <w:sz w:val="20"/>
          <w:szCs w:val="20"/>
        </w:rPr>
        <w:t xml:space="preserve"> 4)</w:t>
      </w:r>
      <w:r>
        <w:rPr>
          <w:rFonts w:ascii="PMingLiU" w:eastAsia="PMingLiU" w:hAnsi="PMingLiU" w:cs="PMingLiU"/>
          <w:sz w:val="20"/>
          <w:szCs w:val="20"/>
        </w:rPr>
        <w:br/>
      </w:r>
      <w:r>
        <w:rPr>
          <w:rFonts w:ascii="Calibri" w:hAnsi="Calibri"/>
          <w:sz w:val="20"/>
          <w:szCs w:val="20"/>
        </w:rPr>
        <w:t xml:space="preserve">Anniversary of Americans with Disabilities Act (July 26) Back to School (August) </w:t>
      </w:r>
    </w:p>
    <w:p w14:paraId="6A2D88DF" w14:textId="77777777" w:rsidR="00633456" w:rsidRDefault="00633456" w:rsidP="00633456">
      <w:pPr>
        <w:pStyle w:val="NormalWeb"/>
      </w:pPr>
      <w:r>
        <w:rPr>
          <w:rFonts w:ascii="Calibri" w:hAnsi="Calibri"/>
          <w:sz w:val="20"/>
          <w:szCs w:val="20"/>
        </w:rPr>
        <w:t xml:space="preserve">Labor Day (1st Monday in September) Grandparents Day (1st Sunday after Labor Day) Hispanic Heritage Month (Sept. 15-Oct. 15) Unmarried and Single Americans Week </w:t>
      </w:r>
    </w:p>
    <w:p w14:paraId="6FE8BEFB" w14:textId="77777777" w:rsidR="00633456" w:rsidRDefault="00633456" w:rsidP="00633456">
      <w:pPr>
        <w:pStyle w:val="NormalWeb"/>
      </w:pPr>
      <w:r>
        <w:rPr>
          <w:rFonts w:ascii="Calibri" w:hAnsi="Calibri"/>
          <w:sz w:val="20"/>
          <w:szCs w:val="20"/>
        </w:rPr>
        <w:t>(3rd week of September)</w:t>
      </w:r>
      <w:r>
        <w:rPr>
          <w:rFonts w:ascii="Calibri" w:hAnsi="Calibri"/>
          <w:sz w:val="20"/>
          <w:szCs w:val="20"/>
        </w:rPr>
        <w:br/>
        <w:t>Halloween (Oct. 31)</w:t>
      </w:r>
      <w:r>
        <w:rPr>
          <w:rFonts w:ascii="Calibri" w:hAnsi="Calibri"/>
          <w:sz w:val="20"/>
          <w:szCs w:val="20"/>
        </w:rPr>
        <w:br/>
        <w:t xml:space="preserve">American Indian/Alaska Native Heritage Month </w:t>
      </w:r>
    </w:p>
    <w:p w14:paraId="4EF39992" w14:textId="77777777" w:rsidR="00633456" w:rsidRDefault="00633456" w:rsidP="00633456">
      <w:pPr>
        <w:pStyle w:val="NormalWeb"/>
      </w:pPr>
      <w:r>
        <w:rPr>
          <w:rFonts w:ascii="Calibri" w:hAnsi="Calibri"/>
          <w:sz w:val="20"/>
          <w:szCs w:val="20"/>
        </w:rPr>
        <w:t>(November)</w:t>
      </w:r>
      <w:r>
        <w:rPr>
          <w:rFonts w:ascii="Calibri" w:hAnsi="Calibri"/>
          <w:sz w:val="20"/>
          <w:szCs w:val="20"/>
        </w:rPr>
        <w:br/>
        <w:t>Veterans Day (Nov. 11)</w:t>
      </w:r>
      <w:r>
        <w:rPr>
          <w:rFonts w:ascii="Calibri" w:hAnsi="Calibri"/>
          <w:sz w:val="20"/>
          <w:szCs w:val="20"/>
        </w:rPr>
        <w:br/>
        <w:t xml:space="preserve">Thanksgiving Day (4th Thursday in November) The Holiday Season (December) </w:t>
      </w:r>
    </w:p>
    <w:p w14:paraId="72574F93" w14:textId="77777777" w:rsidR="00633456" w:rsidRDefault="00633456" w:rsidP="00633456">
      <w:pPr>
        <w:pStyle w:val="NormalWeb"/>
      </w:pPr>
      <w:r>
        <w:rPr>
          <w:rFonts w:ascii="TimesNewRomanPS" w:hAnsi="TimesNewRomanPS"/>
          <w:b/>
          <w:bCs/>
        </w:rPr>
        <w:t xml:space="preserve">Editor’s note: </w:t>
      </w:r>
      <w:r>
        <w:rPr>
          <w:rFonts w:ascii="TimesNewRomanPSMT" w:hAnsi="TimesNewRomanPSMT" w:cs="TimesNewRomanPSMT"/>
          <w:sz w:val="20"/>
          <w:szCs w:val="20"/>
        </w:rPr>
        <w:t xml:space="preserve">The preceding data were collected from a variety of sources and may be subject to sampling variability and other sources of error. Facts for Features are customarily released about two months before an observance </w:t>
      </w:r>
      <w:proofErr w:type="gramStart"/>
      <w:r>
        <w:rPr>
          <w:rFonts w:ascii="TimesNewRomanPSMT" w:hAnsi="TimesNewRomanPSMT" w:cs="TimesNewRomanPSMT"/>
          <w:sz w:val="20"/>
          <w:szCs w:val="20"/>
        </w:rPr>
        <w:t>in order to</w:t>
      </w:r>
      <w:proofErr w:type="gramEnd"/>
      <w:r>
        <w:rPr>
          <w:rFonts w:ascii="TimesNewRomanPSMT" w:hAnsi="TimesNewRomanPSMT" w:cs="TimesNewRomanPSMT"/>
          <w:sz w:val="20"/>
          <w:szCs w:val="20"/>
        </w:rPr>
        <w:t xml:space="preserve"> accommodate magazine production timelines. </w:t>
      </w:r>
    </w:p>
    <w:p w14:paraId="1A94BCEE" w14:textId="77777777" w:rsidR="00633456" w:rsidRDefault="00633456" w:rsidP="00633456">
      <w:pPr>
        <w:pStyle w:val="NormalWeb"/>
      </w:pPr>
      <w:r>
        <w:rPr>
          <w:rFonts w:ascii="TimesNewRomanPSMT" w:hAnsi="TimesNewRomanPSMT" w:cs="TimesNewRomanPSMT"/>
        </w:rPr>
        <w:t xml:space="preserve">Public Information Office 301-763-3030 / </w:t>
      </w:r>
      <w:r>
        <w:rPr>
          <w:rFonts w:ascii="TimesNewRomanPSMT" w:hAnsi="TimesNewRomanPSMT" w:cs="TimesNewRomanPSMT"/>
          <w:color w:val="0000FF"/>
        </w:rPr>
        <w:t xml:space="preserve">pio@census.gov </w:t>
      </w:r>
    </w:p>
    <w:p w14:paraId="5720BA1F" w14:textId="77777777" w:rsidR="00633456" w:rsidRDefault="00633456" w:rsidP="00633456">
      <w:pPr>
        <w:pStyle w:val="NormalWeb"/>
      </w:pPr>
      <w:r>
        <w:rPr>
          <w:rFonts w:ascii="TimesNewRomanPSMT" w:hAnsi="TimesNewRomanPSMT" w:cs="TimesNewRomanPSMT"/>
          <w:color w:val="0000FF"/>
        </w:rPr>
        <w:t>census.gov</w:t>
      </w:r>
      <w:r>
        <w:rPr>
          <w:rFonts w:ascii="TimesNewRomanPSMT" w:hAnsi="TimesNewRomanPSMT" w:cs="TimesNewRomanPSMT"/>
          <w:color w:val="0000FF"/>
        </w:rPr>
        <w:br/>
      </w:r>
    </w:p>
    <w:p w14:paraId="1D9111ED" w14:textId="77777777" w:rsidR="00FC4E85" w:rsidRDefault="00FC4E85"/>
    <w:sectPr w:rsidR="00FC4E85"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TimesNewRomanPSMT">
    <w:charset w:val="00"/>
    <w:family w:val="auto"/>
    <w:pitch w:val="variable"/>
    <w:sig w:usb0="E0002AEF" w:usb1="C0007841" w:usb2="00000009" w:usb3="00000000" w:csb0="000001F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56"/>
    <w:rsid w:val="001475DB"/>
    <w:rsid w:val="00391AF5"/>
    <w:rsid w:val="004B4622"/>
    <w:rsid w:val="00633456"/>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36B6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345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092405">
      <w:bodyDiv w:val="1"/>
      <w:marLeft w:val="0"/>
      <w:marRight w:val="0"/>
      <w:marTop w:val="0"/>
      <w:marBottom w:val="0"/>
      <w:divBdr>
        <w:top w:val="none" w:sz="0" w:space="0" w:color="auto"/>
        <w:left w:val="none" w:sz="0" w:space="0" w:color="auto"/>
        <w:bottom w:val="none" w:sz="0" w:space="0" w:color="auto"/>
        <w:right w:val="none" w:sz="0" w:space="0" w:color="auto"/>
      </w:divBdr>
      <w:divsChild>
        <w:div w:id="1069815378">
          <w:marLeft w:val="0"/>
          <w:marRight w:val="0"/>
          <w:marTop w:val="0"/>
          <w:marBottom w:val="0"/>
          <w:divBdr>
            <w:top w:val="none" w:sz="0" w:space="0" w:color="auto"/>
            <w:left w:val="none" w:sz="0" w:space="0" w:color="auto"/>
            <w:bottom w:val="none" w:sz="0" w:space="0" w:color="auto"/>
            <w:right w:val="none" w:sz="0" w:space="0" w:color="auto"/>
          </w:divBdr>
          <w:divsChild>
            <w:div w:id="174079531">
              <w:marLeft w:val="0"/>
              <w:marRight w:val="0"/>
              <w:marTop w:val="0"/>
              <w:marBottom w:val="0"/>
              <w:divBdr>
                <w:top w:val="none" w:sz="0" w:space="0" w:color="auto"/>
                <w:left w:val="none" w:sz="0" w:space="0" w:color="auto"/>
                <w:bottom w:val="none" w:sz="0" w:space="0" w:color="auto"/>
                <w:right w:val="none" w:sz="0" w:space="0" w:color="auto"/>
              </w:divBdr>
              <w:divsChild>
                <w:div w:id="1380517235">
                  <w:marLeft w:val="0"/>
                  <w:marRight w:val="0"/>
                  <w:marTop w:val="0"/>
                  <w:marBottom w:val="0"/>
                  <w:divBdr>
                    <w:top w:val="none" w:sz="0" w:space="0" w:color="auto"/>
                    <w:left w:val="none" w:sz="0" w:space="0" w:color="auto"/>
                    <w:bottom w:val="none" w:sz="0" w:space="0" w:color="auto"/>
                    <w:right w:val="none" w:sz="0" w:space="0" w:color="auto"/>
                  </w:divBdr>
                </w:div>
              </w:divsChild>
            </w:div>
            <w:div w:id="885411954">
              <w:marLeft w:val="0"/>
              <w:marRight w:val="0"/>
              <w:marTop w:val="0"/>
              <w:marBottom w:val="0"/>
              <w:divBdr>
                <w:top w:val="none" w:sz="0" w:space="0" w:color="auto"/>
                <w:left w:val="none" w:sz="0" w:space="0" w:color="auto"/>
                <w:bottom w:val="none" w:sz="0" w:space="0" w:color="auto"/>
                <w:right w:val="none" w:sz="0" w:space="0" w:color="auto"/>
              </w:divBdr>
              <w:divsChild>
                <w:div w:id="156846496">
                  <w:marLeft w:val="0"/>
                  <w:marRight w:val="0"/>
                  <w:marTop w:val="0"/>
                  <w:marBottom w:val="0"/>
                  <w:divBdr>
                    <w:top w:val="none" w:sz="0" w:space="0" w:color="auto"/>
                    <w:left w:val="none" w:sz="0" w:space="0" w:color="auto"/>
                    <w:bottom w:val="none" w:sz="0" w:space="0" w:color="auto"/>
                    <w:right w:val="none" w:sz="0" w:space="0" w:color="auto"/>
                  </w:divBdr>
                </w:div>
                <w:div w:id="405685304">
                  <w:marLeft w:val="0"/>
                  <w:marRight w:val="0"/>
                  <w:marTop w:val="0"/>
                  <w:marBottom w:val="0"/>
                  <w:divBdr>
                    <w:top w:val="none" w:sz="0" w:space="0" w:color="auto"/>
                    <w:left w:val="none" w:sz="0" w:space="0" w:color="auto"/>
                    <w:bottom w:val="none" w:sz="0" w:space="0" w:color="auto"/>
                    <w:right w:val="none" w:sz="0" w:space="0" w:color="auto"/>
                  </w:divBdr>
                </w:div>
              </w:divsChild>
            </w:div>
            <w:div w:id="184755191">
              <w:marLeft w:val="0"/>
              <w:marRight w:val="0"/>
              <w:marTop w:val="0"/>
              <w:marBottom w:val="0"/>
              <w:divBdr>
                <w:top w:val="none" w:sz="0" w:space="0" w:color="auto"/>
                <w:left w:val="none" w:sz="0" w:space="0" w:color="auto"/>
                <w:bottom w:val="none" w:sz="0" w:space="0" w:color="auto"/>
                <w:right w:val="none" w:sz="0" w:space="0" w:color="auto"/>
              </w:divBdr>
              <w:divsChild>
                <w:div w:id="13395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2714">
          <w:marLeft w:val="0"/>
          <w:marRight w:val="0"/>
          <w:marTop w:val="0"/>
          <w:marBottom w:val="0"/>
          <w:divBdr>
            <w:top w:val="none" w:sz="0" w:space="0" w:color="auto"/>
            <w:left w:val="none" w:sz="0" w:space="0" w:color="auto"/>
            <w:bottom w:val="none" w:sz="0" w:space="0" w:color="auto"/>
            <w:right w:val="none" w:sz="0" w:space="0" w:color="auto"/>
          </w:divBdr>
          <w:divsChild>
            <w:div w:id="1234778386">
              <w:marLeft w:val="0"/>
              <w:marRight w:val="0"/>
              <w:marTop w:val="0"/>
              <w:marBottom w:val="0"/>
              <w:divBdr>
                <w:top w:val="none" w:sz="0" w:space="0" w:color="auto"/>
                <w:left w:val="none" w:sz="0" w:space="0" w:color="auto"/>
                <w:bottom w:val="none" w:sz="0" w:space="0" w:color="auto"/>
                <w:right w:val="none" w:sz="0" w:space="0" w:color="auto"/>
              </w:divBdr>
              <w:divsChild>
                <w:div w:id="1500542446">
                  <w:marLeft w:val="0"/>
                  <w:marRight w:val="0"/>
                  <w:marTop w:val="0"/>
                  <w:marBottom w:val="0"/>
                  <w:divBdr>
                    <w:top w:val="none" w:sz="0" w:space="0" w:color="auto"/>
                    <w:left w:val="none" w:sz="0" w:space="0" w:color="auto"/>
                    <w:bottom w:val="none" w:sz="0" w:space="0" w:color="auto"/>
                    <w:right w:val="none" w:sz="0" w:space="0" w:color="auto"/>
                  </w:divBdr>
                </w:div>
              </w:divsChild>
            </w:div>
            <w:div w:id="67775984">
              <w:marLeft w:val="0"/>
              <w:marRight w:val="0"/>
              <w:marTop w:val="0"/>
              <w:marBottom w:val="0"/>
              <w:divBdr>
                <w:top w:val="none" w:sz="0" w:space="0" w:color="auto"/>
                <w:left w:val="none" w:sz="0" w:space="0" w:color="auto"/>
                <w:bottom w:val="none" w:sz="0" w:space="0" w:color="auto"/>
                <w:right w:val="none" w:sz="0" w:space="0" w:color="auto"/>
              </w:divBdr>
              <w:divsChild>
                <w:div w:id="1948000030">
                  <w:marLeft w:val="0"/>
                  <w:marRight w:val="0"/>
                  <w:marTop w:val="0"/>
                  <w:marBottom w:val="0"/>
                  <w:divBdr>
                    <w:top w:val="none" w:sz="0" w:space="0" w:color="auto"/>
                    <w:left w:val="none" w:sz="0" w:space="0" w:color="auto"/>
                    <w:bottom w:val="none" w:sz="0" w:space="0" w:color="auto"/>
                    <w:right w:val="none" w:sz="0" w:space="0" w:color="auto"/>
                  </w:divBdr>
                </w:div>
                <w:div w:id="1197541086">
                  <w:marLeft w:val="0"/>
                  <w:marRight w:val="0"/>
                  <w:marTop w:val="0"/>
                  <w:marBottom w:val="0"/>
                  <w:divBdr>
                    <w:top w:val="none" w:sz="0" w:space="0" w:color="auto"/>
                    <w:left w:val="none" w:sz="0" w:space="0" w:color="auto"/>
                    <w:bottom w:val="none" w:sz="0" w:space="0" w:color="auto"/>
                    <w:right w:val="none" w:sz="0" w:space="0" w:color="auto"/>
                  </w:divBdr>
                </w:div>
              </w:divsChild>
            </w:div>
            <w:div w:id="1923635528">
              <w:marLeft w:val="0"/>
              <w:marRight w:val="0"/>
              <w:marTop w:val="0"/>
              <w:marBottom w:val="0"/>
              <w:divBdr>
                <w:top w:val="none" w:sz="0" w:space="0" w:color="auto"/>
                <w:left w:val="none" w:sz="0" w:space="0" w:color="auto"/>
                <w:bottom w:val="none" w:sz="0" w:space="0" w:color="auto"/>
                <w:right w:val="none" w:sz="0" w:space="0" w:color="auto"/>
              </w:divBdr>
              <w:divsChild>
                <w:div w:id="153730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6853">
          <w:marLeft w:val="0"/>
          <w:marRight w:val="0"/>
          <w:marTop w:val="0"/>
          <w:marBottom w:val="0"/>
          <w:divBdr>
            <w:top w:val="none" w:sz="0" w:space="0" w:color="auto"/>
            <w:left w:val="none" w:sz="0" w:space="0" w:color="auto"/>
            <w:bottom w:val="none" w:sz="0" w:space="0" w:color="auto"/>
            <w:right w:val="none" w:sz="0" w:space="0" w:color="auto"/>
          </w:divBdr>
          <w:divsChild>
            <w:div w:id="1865512817">
              <w:marLeft w:val="0"/>
              <w:marRight w:val="0"/>
              <w:marTop w:val="0"/>
              <w:marBottom w:val="0"/>
              <w:divBdr>
                <w:top w:val="none" w:sz="0" w:space="0" w:color="auto"/>
                <w:left w:val="none" w:sz="0" w:space="0" w:color="auto"/>
                <w:bottom w:val="none" w:sz="0" w:space="0" w:color="auto"/>
                <w:right w:val="none" w:sz="0" w:space="0" w:color="auto"/>
              </w:divBdr>
              <w:divsChild>
                <w:div w:id="931858322">
                  <w:marLeft w:val="0"/>
                  <w:marRight w:val="0"/>
                  <w:marTop w:val="0"/>
                  <w:marBottom w:val="0"/>
                  <w:divBdr>
                    <w:top w:val="none" w:sz="0" w:space="0" w:color="auto"/>
                    <w:left w:val="none" w:sz="0" w:space="0" w:color="auto"/>
                    <w:bottom w:val="none" w:sz="0" w:space="0" w:color="auto"/>
                    <w:right w:val="none" w:sz="0" w:space="0" w:color="auto"/>
                  </w:divBdr>
                </w:div>
              </w:divsChild>
            </w:div>
            <w:div w:id="2004553275">
              <w:marLeft w:val="0"/>
              <w:marRight w:val="0"/>
              <w:marTop w:val="0"/>
              <w:marBottom w:val="0"/>
              <w:divBdr>
                <w:top w:val="none" w:sz="0" w:space="0" w:color="auto"/>
                <w:left w:val="none" w:sz="0" w:space="0" w:color="auto"/>
                <w:bottom w:val="none" w:sz="0" w:space="0" w:color="auto"/>
                <w:right w:val="none" w:sz="0" w:space="0" w:color="auto"/>
              </w:divBdr>
              <w:divsChild>
                <w:div w:id="1414233997">
                  <w:marLeft w:val="0"/>
                  <w:marRight w:val="0"/>
                  <w:marTop w:val="0"/>
                  <w:marBottom w:val="0"/>
                  <w:divBdr>
                    <w:top w:val="none" w:sz="0" w:space="0" w:color="auto"/>
                    <w:left w:val="none" w:sz="0" w:space="0" w:color="auto"/>
                    <w:bottom w:val="none" w:sz="0" w:space="0" w:color="auto"/>
                    <w:right w:val="none" w:sz="0" w:space="0" w:color="auto"/>
                  </w:divBdr>
                </w:div>
              </w:divsChild>
            </w:div>
            <w:div w:id="1407996111">
              <w:marLeft w:val="0"/>
              <w:marRight w:val="0"/>
              <w:marTop w:val="0"/>
              <w:marBottom w:val="0"/>
              <w:divBdr>
                <w:top w:val="none" w:sz="0" w:space="0" w:color="auto"/>
                <w:left w:val="none" w:sz="0" w:space="0" w:color="auto"/>
                <w:bottom w:val="none" w:sz="0" w:space="0" w:color="auto"/>
                <w:right w:val="none" w:sz="0" w:space="0" w:color="auto"/>
              </w:divBdr>
              <w:divsChild>
                <w:div w:id="1928683939">
                  <w:marLeft w:val="0"/>
                  <w:marRight w:val="0"/>
                  <w:marTop w:val="0"/>
                  <w:marBottom w:val="0"/>
                  <w:divBdr>
                    <w:top w:val="none" w:sz="0" w:space="0" w:color="auto"/>
                    <w:left w:val="none" w:sz="0" w:space="0" w:color="auto"/>
                    <w:bottom w:val="none" w:sz="0" w:space="0" w:color="auto"/>
                    <w:right w:val="none" w:sz="0" w:space="0" w:color="auto"/>
                  </w:divBdr>
                </w:div>
              </w:divsChild>
            </w:div>
            <w:div w:id="158540464">
              <w:marLeft w:val="0"/>
              <w:marRight w:val="0"/>
              <w:marTop w:val="0"/>
              <w:marBottom w:val="0"/>
              <w:divBdr>
                <w:top w:val="none" w:sz="0" w:space="0" w:color="auto"/>
                <w:left w:val="none" w:sz="0" w:space="0" w:color="auto"/>
                <w:bottom w:val="none" w:sz="0" w:space="0" w:color="auto"/>
                <w:right w:val="none" w:sz="0" w:space="0" w:color="auto"/>
              </w:divBdr>
              <w:divsChild>
                <w:div w:id="1113747954">
                  <w:marLeft w:val="0"/>
                  <w:marRight w:val="0"/>
                  <w:marTop w:val="0"/>
                  <w:marBottom w:val="0"/>
                  <w:divBdr>
                    <w:top w:val="none" w:sz="0" w:space="0" w:color="auto"/>
                    <w:left w:val="none" w:sz="0" w:space="0" w:color="auto"/>
                    <w:bottom w:val="none" w:sz="0" w:space="0" w:color="auto"/>
                    <w:right w:val="none" w:sz="0" w:space="0" w:color="auto"/>
                  </w:divBdr>
                </w:div>
                <w:div w:id="1975256825">
                  <w:marLeft w:val="0"/>
                  <w:marRight w:val="0"/>
                  <w:marTop w:val="0"/>
                  <w:marBottom w:val="0"/>
                  <w:divBdr>
                    <w:top w:val="none" w:sz="0" w:space="0" w:color="auto"/>
                    <w:left w:val="none" w:sz="0" w:space="0" w:color="auto"/>
                    <w:bottom w:val="none" w:sz="0" w:space="0" w:color="auto"/>
                    <w:right w:val="none" w:sz="0" w:space="0" w:color="auto"/>
                  </w:divBdr>
                </w:div>
              </w:divsChild>
            </w:div>
            <w:div w:id="1254244976">
              <w:marLeft w:val="0"/>
              <w:marRight w:val="0"/>
              <w:marTop w:val="0"/>
              <w:marBottom w:val="0"/>
              <w:divBdr>
                <w:top w:val="none" w:sz="0" w:space="0" w:color="auto"/>
                <w:left w:val="none" w:sz="0" w:space="0" w:color="auto"/>
                <w:bottom w:val="none" w:sz="0" w:space="0" w:color="auto"/>
                <w:right w:val="none" w:sz="0" w:space="0" w:color="auto"/>
              </w:divBdr>
              <w:divsChild>
                <w:div w:id="1021052006">
                  <w:marLeft w:val="0"/>
                  <w:marRight w:val="0"/>
                  <w:marTop w:val="0"/>
                  <w:marBottom w:val="0"/>
                  <w:divBdr>
                    <w:top w:val="none" w:sz="0" w:space="0" w:color="auto"/>
                    <w:left w:val="none" w:sz="0" w:space="0" w:color="auto"/>
                    <w:bottom w:val="none" w:sz="0" w:space="0" w:color="auto"/>
                    <w:right w:val="none" w:sz="0" w:space="0" w:color="auto"/>
                  </w:divBdr>
                </w:div>
              </w:divsChild>
            </w:div>
            <w:div w:id="983005312">
              <w:marLeft w:val="0"/>
              <w:marRight w:val="0"/>
              <w:marTop w:val="0"/>
              <w:marBottom w:val="0"/>
              <w:divBdr>
                <w:top w:val="none" w:sz="0" w:space="0" w:color="auto"/>
                <w:left w:val="none" w:sz="0" w:space="0" w:color="auto"/>
                <w:bottom w:val="none" w:sz="0" w:space="0" w:color="auto"/>
                <w:right w:val="none" w:sz="0" w:space="0" w:color="auto"/>
              </w:divBdr>
              <w:divsChild>
                <w:div w:id="1603759909">
                  <w:marLeft w:val="0"/>
                  <w:marRight w:val="0"/>
                  <w:marTop w:val="0"/>
                  <w:marBottom w:val="0"/>
                  <w:divBdr>
                    <w:top w:val="none" w:sz="0" w:space="0" w:color="auto"/>
                    <w:left w:val="none" w:sz="0" w:space="0" w:color="auto"/>
                    <w:bottom w:val="none" w:sz="0" w:space="0" w:color="auto"/>
                    <w:right w:val="none" w:sz="0" w:space="0" w:color="auto"/>
                  </w:divBdr>
                </w:div>
                <w:div w:id="2083794275">
                  <w:marLeft w:val="0"/>
                  <w:marRight w:val="0"/>
                  <w:marTop w:val="0"/>
                  <w:marBottom w:val="0"/>
                  <w:divBdr>
                    <w:top w:val="none" w:sz="0" w:space="0" w:color="auto"/>
                    <w:left w:val="none" w:sz="0" w:space="0" w:color="auto"/>
                    <w:bottom w:val="none" w:sz="0" w:space="0" w:color="auto"/>
                    <w:right w:val="none" w:sz="0" w:space="0" w:color="auto"/>
                  </w:divBdr>
                </w:div>
              </w:divsChild>
            </w:div>
            <w:div w:id="1749495905">
              <w:marLeft w:val="0"/>
              <w:marRight w:val="0"/>
              <w:marTop w:val="0"/>
              <w:marBottom w:val="0"/>
              <w:divBdr>
                <w:top w:val="none" w:sz="0" w:space="0" w:color="auto"/>
                <w:left w:val="none" w:sz="0" w:space="0" w:color="auto"/>
                <w:bottom w:val="none" w:sz="0" w:space="0" w:color="auto"/>
                <w:right w:val="none" w:sz="0" w:space="0" w:color="auto"/>
              </w:divBdr>
              <w:divsChild>
                <w:div w:id="17344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70623">
          <w:marLeft w:val="0"/>
          <w:marRight w:val="0"/>
          <w:marTop w:val="0"/>
          <w:marBottom w:val="0"/>
          <w:divBdr>
            <w:top w:val="none" w:sz="0" w:space="0" w:color="auto"/>
            <w:left w:val="none" w:sz="0" w:space="0" w:color="auto"/>
            <w:bottom w:val="none" w:sz="0" w:space="0" w:color="auto"/>
            <w:right w:val="none" w:sz="0" w:space="0" w:color="auto"/>
          </w:divBdr>
          <w:divsChild>
            <w:div w:id="2079355047">
              <w:marLeft w:val="0"/>
              <w:marRight w:val="0"/>
              <w:marTop w:val="0"/>
              <w:marBottom w:val="0"/>
              <w:divBdr>
                <w:top w:val="none" w:sz="0" w:space="0" w:color="auto"/>
                <w:left w:val="none" w:sz="0" w:space="0" w:color="auto"/>
                <w:bottom w:val="none" w:sz="0" w:space="0" w:color="auto"/>
                <w:right w:val="none" w:sz="0" w:space="0" w:color="auto"/>
              </w:divBdr>
              <w:divsChild>
                <w:div w:id="206374986">
                  <w:marLeft w:val="0"/>
                  <w:marRight w:val="0"/>
                  <w:marTop w:val="0"/>
                  <w:marBottom w:val="0"/>
                  <w:divBdr>
                    <w:top w:val="none" w:sz="0" w:space="0" w:color="auto"/>
                    <w:left w:val="none" w:sz="0" w:space="0" w:color="auto"/>
                    <w:bottom w:val="none" w:sz="0" w:space="0" w:color="auto"/>
                    <w:right w:val="none" w:sz="0" w:space="0" w:color="auto"/>
                  </w:divBdr>
                </w:div>
              </w:divsChild>
            </w:div>
            <w:div w:id="337392843">
              <w:marLeft w:val="0"/>
              <w:marRight w:val="0"/>
              <w:marTop w:val="0"/>
              <w:marBottom w:val="0"/>
              <w:divBdr>
                <w:top w:val="none" w:sz="0" w:space="0" w:color="auto"/>
                <w:left w:val="none" w:sz="0" w:space="0" w:color="auto"/>
                <w:bottom w:val="none" w:sz="0" w:space="0" w:color="auto"/>
                <w:right w:val="none" w:sz="0" w:space="0" w:color="auto"/>
              </w:divBdr>
              <w:divsChild>
                <w:div w:id="1466006717">
                  <w:marLeft w:val="0"/>
                  <w:marRight w:val="0"/>
                  <w:marTop w:val="0"/>
                  <w:marBottom w:val="0"/>
                  <w:divBdr>
                    <w:top w:val="none" w:sz="0" w:space="0" w:color="auto"/>
                    <w:left w:val="none" w:sz="0" w:space="0" w:color="auto"/>
                    <w:bottom w:val="none" w:sz="0" w:space="0" w:color="auto"/>
                    <w:right w:val="none" w:sz="0" w:space="0" w:color="auto"/>
                  </w:divBdr>
                </w:div>
                <w:div w:id="139883178">
                  <w:marLeft w:val="0"/>
                  <w:marRight w:val="0"/>
                  <w:marTop w:val="0"/>
                  <w:marBottom w:val="0"/>
                  <w:divBdr>
                    <w:top w:val="none" w:sz="0" w:space="0" w:color="auto"/>
                    <w:left w:val="none" w:sz="0" w:space="0" w:color="auto"/>
                    <w:bottom w:val="none" w:sz="0" w:space="0" w:color="auto"/>
                    <w:right w:val="none" w:sz="0" w:space="0" w:color="auto"/>
                  </w:divBdr>
                </w:div>
              </w:divsChild>
            </w:div>
            <w:div w:id="1222404775">
              <w:marLeft w:val="0"/>
              <w:marRight w:val="0"/>
              <w:marTop w:val="0"/>
              <w:marBottom w:val="0"/>
              <w:divBdr>
                <w:top w:val="none" w:sz="0" w:space="0" w:color="auto"/>
                <w:left w:val="none" w:sz="0" w:space="0" w:color="auto"/>
                <w:bottom w:val="none" w:sz="0" w:space="0" w:color="auto"/>
                <w:right w:val="none" w:sz="0" w:space="0" w:color="auto"/>
              </w:divBdr>
              <w:divsChild>
                <w:div w:id="1975521303">
                  <w:marLeft w:val="0"/>
                  <w:marRight w:val="0"/>
                  <w:marTop w:val="0"/>
                  <w:marBottom w:val="0"/>
                  <w:divBdr>
                    <w:top w:val="none" w:sz="0" w:space="0" w:color="auto"/>
                    <w:left w:val="none" w:sz="0" w:space="0" w:color="auto"/>
                    <w:bottom w:val="none" w:sz="0" w:space="0" w:color="auto"/>
                    <w:right w:val="none" w:sz="0" w:space="0" w:color="auto"/>
                  </w:divBdr>
                </w:div>
              </w:divsChild>
            </w:div>
            <w:div w:id="1514032491">
              <w:marLeft w:val="0"/>
              <w:marRight w:val="0"/>
              <w:marTop w:val="0"/>
              <w:marBottom w:val="0"/>
              <w:divBdr>
                <w:top w:val="none" w:sz="0" w:space="0" w:color="auto"/>
                <w:left w:val="none" w:sz="0" w:space="0" w:color="auto"/>
                <w:bottom w:val="none" w:sz="0" w:space="0" w:color="auto"/>
                <w:right w:val="none" w:sz="0" w:space="0" w:color="auto"/>
              </w:divBdr>
              <w:divsChild>
                <w:div w:id="890774293">
                  <w:marLeft w:val="0"/>
                  <w:marRight w:val="0"/>
                  <w:marTop w:val="0"/>
                  <w:marBottom w:val="0"/>
                  <w:divBdr>
                    <w:top w:val="none" w:sz="0" w:space="0" w:color="auto"/>
                    <w:left w:val="none" w:sz="0" w:space="0" w:color="auto"/>
                    <w:bottom w:val="none" w:sz="0" w:space="0" w:color="auto"/>
                    <w:right w:val="none" w:sz="0" w:space="0" w:color="auto"/>
                  </w:divBdr>
                </w:div>
                <w:div w:id="1558737740">
                  <w:marLeft w:val="0"/>
                  <w:marRight w:val="0"/>
                  <w:marTop w:val="0"/>
                  <w:marBottom w:val="0"/>
                  <w:divBdr>
                    <w:top w:val="none" w:sz="0" w:space="0" w:color="auto"/>
                    <w:left w:val="none" w:sz="0" w:space="0" w:color="auto"/>
                    <w:bottom w:val="none" w:sz="0" w:space="0" w:color="auto"/>
                    <w:right w:val="none" w:sz="0" w:space="0" w:color="auto"/>
                  </w:divBdr>
                </w:div>
              </w:divsChild>
            </w:div>
            <w:div w:id="18240672">
              <w:marLeft w:val="0"/>
              <w:marRight w:val="0"/>
              <w:marTop w:val="0"/>
              <w:marBottom w:val="0"/>
              <w:divBdr>
                <w:top w:val="none" w:sz="0" w:space="0" w:color="auto"/>
                <w:left w:val="none" w:sz="0" w:space="0" w:color="auto"/>
                <w:bottom w:val="none" w:sz="0" w:space="0" w:color="auto"/>
                <w:right w:val="none" w:sz="0" w:space="0" w:color="auto"/>
              </w:divBdr>
              <w:divsChild>
                <w:div w:id="75636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5389</Characters>
  <Application>Microsoft Macintosh Word</Application>
  <DocSecurity>0</DocSecurity>
  <Lines>44</Lines>
  <Paragraphs>12</Paragraphs>
  <ScaleCrop>false</ScaleCrop>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2017-12-01T00:28:00Z</dcterms:created>
  <dcterms:modified xsi:type="dcterms:W3CDTF">2017-12-01T00:31:00Z</dcterms:modified>
</cp:coreProperties>
</file>